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附件2</w:t>
      </w:r>
    </w:p>
    <w:p>
      <w:pPr>
        <w:spacing w:before="312" w:beforeLines="100"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陕西省高等教育学会2019年会暨陕西高等教育论坛</w:t>
      </w:r>
    </w:p>
    <w:p>
      <w:pPr>
        <w:spacing w:after="312" w:afterLines="100" w:line="360" w:lineRule="auto"/>
        <w:jc w:val="center"/>
        <w:rPr>
          <w:rFonts w:ascii="黑体" w:hAnsi="黑体" w:eastAsia="黑体" w:cs="黑体"/>
          <w:color w:val="auto"/>
          <w:sz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报名回执表</w:t>
      </w:r>
    </w:p>
    <w:tbl>
      <w:tblPr>
        <w:tblStyle w:val="2"/>
        <w:tblW w:w="84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35"/>
        <w:gridCol w:w="810"/>
        <w:gridCol w:w="1140"/>
        <w:gridCol w:w="1995"/>
        <w:gridCol w:w="1200"/>
        <w:gridCol w:w="1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单位名称</w:t>
            </w:r>
          </w:p>
        </w:tc>
        <w:tc>
          <w:tcPr>
            <w:tcW w:w="7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单位地址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编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代表姓名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性别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职称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职务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邮  箱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手  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论文题目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ascii="仿宋" w:hAnsi="仿宋" w:eastAsia="仿宋"/>
                <w:bCs/>
                <w:color w:val="auto"/>
                <w:sz w:val="24"/>
              </w:rPr>
              <w:t>信息</w:t>
            </w:r>
          </w:p>
        </w:tc>
        <w:tc>
          <w:tcPr>
            <w:tcW w:w="7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预订房间：   标间：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间    单间：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</w:tc>
        <w:tc>
          <w:tcPr>
            <w:tcW w:w="7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 xml:space="preserve">预定会期：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日至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ascii="宋体" w:hAnsi="宋体" w:cs="仿宋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请此回执填好后发送至邮箱：</w:t>
      </w:r>
      <w:r>
        <w:rPr>
          <w:rFonts w:ascii="Times New Roman" w:hAnsi="Times New Roman"/>
          <w:color w:val="auto"/>
          <w:sz w:val="24"/>
        </w:rPr>
        <w:t>susanss1919@163.com</w:t>
      </w:r>
      <w:r>
        <w:rPr>
          <w:rFonts w:hint="eastAsia" w:ascii="宋体" w:hAnsi="宋体" w:cs="仿宋"/>
          <w:color w:val="auto"/>
          <w:sz w:val="24"/>
        </w:rPr>
        <w:t xml:space="preserve">   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联系电话：</w:t>
      </w:r>
      <w:r>
        <w:rPr>
          <w:rFonts w:ascii="Times New Roman" w:hAnsi="Times New Roman"/>
          <w:color w:val="auto"/>
          <w:sz w:val="24"/>
        </w:rPr>
        <w:t>0916-2641570  13571658963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E078F"/>
    <w:rsid w:val="1D7E0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2019-07-14T03:26:00Z</dcterms:created>
  <dc:creator>♀天枰♀</dc:creator>
  <cp:lastModifiedBy>♀天枰♀</cp:lastModifiedBy>
  <dcterms:modified xsi:type="dcterms:W3CDTF">2019-07-14T03:26:29Z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